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ind w:right="-15" w:hanging="0"/>
        <w:contextualSpacing/>
        <w:jc w:val="center"/>
        <w:rPr>
          <w:color w:val="000000"/>
        </w:rPr>
      </w:pPr>
      <w:r>
        <w:rPr>
          <w:rFonts w:cs="Arial" w:ascii="Calibri" w:hAnsi="Calibri"/>
          <w:b/>
          <w:bCs/>
          <w:i w:val="false"/>
          <w:iCs w:val="false"/>
          <w:color w:val="000000"/>
          <w:sz w:val="24"/>
          <w:szCs w:val="24"/>
        </w:rPr>
        <w:t xml:space="preserve">MARINHA DO BRASIL </w:t>
      </w:r>
    </w:p>
    <w:p>
      <w:pPr>
        <w:pStyle w:val="Normal"/>
        <w:widowControl w:val="false"/>
        <w:spacing w:lineRule="auto" w:line="240" w:before="0" w:after="0"/>
        <w:ind w:right="-15" w:hanging="0"/>
        <w:contextualSpacing/>
        <w:jc w:val="center"/>
        <w:rPr>
          <w:color w:val="000000"/>
        </w:rPr>
      </w:pPr>
      <w:r>
        <w:rPr>
          <w:rFonts w:cs="Arial" w:ascii="Calibri" w:hAnsi="Calibri"/>
          <w:b/>
          <w:bCs/>
          <w:i w:val="false"/>
          <w:iCs w:val="false"/>
          <w:color w:val="000000"/>
          <w:sz w:val="24"/>
          <w:szCs w:val="24"/>
        </w:rPr>
        <w:t>ESCOLA DE APRENDIZES-MARINHEIROS DO CEARÁ</w:t>
      </w:r>
    </w:p>
    <w:p>
      <w:pPr>
        <w:pStyle w:val="Normal"/>
        <w:widowControl w:val="false"/>
        <w:spacing w:lineRule="auto" w:line="240" w:before="0" w:after="0"/>
        <w:ind w:right="-15" w:hanging="0"/>
        <w:contextualSpacing/>
        <w:jc w:val="center"/>
        <w:rPr>
          <w:rFonts w:cs="Arial"/>
          <w:color w:val="000000"/>
        </w:rPr>
      </w:pPr>
      <w:r>
        <w:rPr>
          <w:rFonts w:cs="Arial"/>
          <w:color w:val="000000"/>
        </w:rPr>
      </w:r>
    </w:p>
    <w:p>
      <w:pPr>
        <w:pStyle w:val="Normal"/>
        <w:widowControl w:val="false"/>
        <w:spacing w:lineRule="auto" w:line="240" w:before="0" w:after="0"/>
        <w:ind w:right="-30" w:hanging="0"/>
        <w:contextualSpacing/>
        <w:jc w:val="center"/>
        <w:rPr>
          <w:color w:val="000000"/>
        </w:rPr>
      </w:pPr>
      <w:r>
        <w:rPr>
          <w:rFonts w:cs="Arial" w:ascii="Calibri" w:hAnsi="Calibri"/>
          <w:b/>
          <w:bCs/>
          <w:i w:val="false"/>
          <w:iCs w:val="false"/>
          <w:color w:val="000000"/>
          <w:sz w:val="24"/>
          <w:szCs w:val="24"/>
        </w:rPr>
        <w:t>ATA DE REGISTRO DE PREÇOS N.º .........</w:t>
      </w:r>
    </w:p>
    <w:p>
      <w:pPr>
        <w:pStyle w:val="Normal"/>
        <w:widowControl w:val="false"/>
        <w:spacing w:lineRule="auto" w:line="240" w:before="0" w:after="0"/>
        <w:ind w:right="-30" w:hanging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40" w:before="0" w:after="0"/>
        <w:ind w:right="-28" w:hanging="0"/>
        <w:contextualSpacing/>
        <w:jc w:val="both"/>
        <w:rPr/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>A ESCOLA DE APRENDIZES-MARINHEIROS DO CEARÁ, com sede no(a) Av. Coronel Filomeno Gomes, n° 30, Jacarecanga, na cidade de Fortaleza-CE, inscrito(a) no CNPJ/MF sob o nº 00.394.502/0116-93, neste ato representado(a) pelo</w:t>
      </w:r>
      <w:r>
        <w:rPr>
          <w:rFonts w:cs="Times New Roman" w:ascii="Calibri" w:hAnsi="Calibri"/>
          <w:i w:val="false"/>
          <w:iCs w:val="false"/>
          <w:color w:val="000000"/>
          <w:sz w:val="24"/>
          <w:szCs w:val="24"/>
        </w:rPr>
        <w:t xml:space="preserve"> Comandante o Capitão de Fragata </w:t>
      </w:r>
      <w:r>
        <w:rPr>
          <w:rFonts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</w:rPr>
        <w:t>DANIEL ROCHA</w:t>
      </w:r>
      <w:r>
        <w:rPr>
          <w:rFonts w:cs="Times New Roman" w:ascii="Calibri" w:hAnsi="Calibri"/>
          <w:i w:val="false"/>
          <w:iCs w:val="false"/>
          <w:color w:val="000000"/>
          <w:sz w:val="24"/>
          <w:szCs w:val="24"/>
        </w:rPr>
        <w:t xml:space="preserve">, Ordenador de Despesas, nomeado pela Ordem de Serviço nº 187, de 1º de julho de 2022, inscrito no CPF nº </w:t>
      </w:r>
      <w:r>
        <w:rPr>
          <w:rFonts w:eastAsia="Times New Roman" w:cs="Times New Roman" w:ascii="Calibri" w:hAnsi="Calibri"/>
          <w:i w:val="false"/>
          <w:iCs w:val="false"/>
          <w:color w:val="000000"/>
          <w:kern w:val="0"/>
          <w:sz w:val="24"/>
          <w:szCs w:val="24"/>
          <w:lang w:val="pt-BR" w:eastAsia="pt-BR" w:bidi="ar-SA"/>
        </w:rPr>
        <w:t>004.642.886-06</w:t>
      </w:r>
      <w:r>
        <w:rPr>
          <w:rFonts w:cs="Times New Roman" w:ascii="Calibri" w:hAnsi="Calibri"/>
          <w:i w:val="false"/>
          <w:iCs w:val="false"/>
          <w:color w:val="000000"/>
          <w:sz w:val="24"/>
          <w:szCs w:val="24"/>
        </w:rPr>
        <w:t>, e em conformidade com as atribuições que lhe foram delegadas pela Portaria nº 143/Com3ºDN, de 11/03/2020</w:t>
      </w:r>
      <w:r>
        <w:rPr>
          <w:rFonts w:cs="Arial" w:ascii="Arial" w:hAnsi="Arial"/>
          <w:color w:val="000000"/>
          <w:sz w:val="20"/>
          <w:szCs w:val="20"/>
        </w:rPr>
        <w:t xml:space="preserve">, considerando o julgamento da licitação na modalidade de pregão, na forma eletrônica, para REGISTRO DE PREÇOS nº </w:t>
      </w:r>
      <w:r>
        <w:rPr>
          <w:rFonts w:cs="Tahoma" w:ascii="Arial" w:hAnsi="Arial"/>
          <w:color w:val="000000"/>
          <w:sz w:val="20"/>
          <w:szCs w:val="20"/>
        </w:rPr>
        <w:t>15</w:t>
      </w:r>
      <w:r>
        <w:rPr>
          <w:rFonts w:cs="Arial" w:ascii="Arial" w:hAnsi="Arial"/>
          <w:color w:val="000000"/>
          <w:sz w:val="20"/>
          <w:szCs w:val="20"/>
        </w:rPr>
        <w:t xml:space="preserve">/2023, publicada no ...... de ...../...../200....., processo administrativo n.º </w:t>
      </w:r>
      <w:r>
        <w:rPr>
          <w:rStyle w:val="Nfaseforte"/>
          <w:rFonts w:cs="Arial" w:ascii="Calibri" w:hAnsi="Calibri"/>
          <w:b w:val="false"/>
          <w:bCs w:val="false"/>
          <w:i w:val="false"/>
          <w:iCs w:val="false"/>
          <w:color w:val="000000"/>
          <w:sz w:val="24"/>
          <w:szCs w:val="24"/>
        </w:rPr>
        <w:t>63116.005056/2023-78</w:t>
      </w:r>
      <w:r>
        <w:rPr>
          <w:rFonts w:cs="Arial" w:ascii="Arial" w:hAnsi="Arial"/>
          <w:color w:val="000000"/>
          <w:sz w:val="20"/>
          <w:szCs w:val="20"/>
        </w:rPr>
        <w:t>,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8.666, de 21 de junho de 1993 e suas alterações, no Decreto n.º 7.892, de 23 de janeiro de 2013, e em conformidade com as disposições a seguir: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40" w:before="0" w:after="0"/>
        <w:ind w:right="-28" w:hanging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>DO OBJETO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/>
      </w:pPr>
      <w:r>
        <w:rPr>
          <w:rFonts w:cs="Arial" w:ascii="Arial" w:hAnsi="Arial"/>
          <w:color w:val="000000"/>
          <w:sz w:val="20"/>
          <w:szCs w:val="20"/>
        </w:rPr>
        <w:t xml:space="preserve">A presente Ata tem por objeto o registro de preços para a eventual aquisição de </w:t>
      </w:r>
      <w:r>
        <w:rPr>
          <w:rStyle w:val="Fontepargpadro"/>
          <w:rFonts w:eastAsia="Arial" w:cs="Arial" w:ascii="Calibri" w:hAnsi="Calibri"/>
          <w:b w:val="false"/>
          <w:bCs w:val="false"/>
          <w:i w:val="false"/>
          <w:iCs w:val="false"/>
          <w:color w:val="000000"/>
          <w:sz w:val="24"/>
          <w:szCs w:val="24"/>
          <w:shd w:fill="FFFFFF" w:val="clear"/>
        </w:rPr>
        <w:t>medicamentos especiais para assistência em saúde</w:t>
      </w:r>
      <w:r>
        <w:rPr>
          <w:rFonts w:cs="Arial" w:ascii="Arial" w:hAnsi="Arial"/>
          <w:color w:val="000000"/>
          <w:sz w:val="20"/>
          <w:szCs w:val="20"/>
        </w:rPr>
        <w:t xml:space="preserve">, especificado(s) no(s) item(ns).......... do .......... Termo de Referência, </w:t>
      </w: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>anexo I, do edital de Licitação nº 15/2023</w:t>
      </w:r>
      <w:r>
        <w:rPr>
          <w:rFonts w:cs="Arial" w:ascii="Arial" w:hAnsi="Arial"/>
          <w:color w:val="000000"/>
          <w:sz w:val="20"/>
          <w:szCs w:val="20"/>
        </w:rPr>
        <w:t>, que é parte integrante desta Ata, assim como a proposta vencedora, independentemente de transcrição.</w:t>
      </w:r>
    </w:p>
    <w:p>
      <w:pPr>
        <w:pStyle w:val="Normal"/>
        <w:widowControl w:val="false"/>
        <w:spacing w:lineRule="auto" w:line="240" w:before="0" w:after="0"/>
        <w:ind w:left="792" w:hanging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>DOS PREÇOS, ESPECIFICAÇÕES E QUANTITATIVOS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 xml:space="preserve">O preço registrado, as especificações do objeto, a quantidade, fornecedor(es) e as demais condições ofertadas na(s) proposta(s) são as que seguem: </w:t>
      </w:r>
    </w:p>
    <w:tbl>
      <w:tblPr>
        <w:tblW w:w="8551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5"/>
        <w:gridCol w:w="1334"/>
        <w:gridCol w:w="1253"/>
        <w:gridCol w:w="1542"/>
        <w:gridCol w:w="1121"/>
        <w:gridCol w:w="1120"/>
        <w:gridCol w:w="842"/>
        <w:gridCol w:w="843"/>
      </w:tblGrid>
      <w:tr>
        <w:trPr>
          <w:trHeight w:val="511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TR</w:t>
            </w:r>
          </w:p>
        </w:tc>
        <w:tc>
          <w:tcPr>
            <w:tcW w:w="80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00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  <w:t>(se exigida no edital)</w:t>
            </w:r>
          </w:p>
        </w:tc>
        <w:tc>
          <w:tcPr>
            <w:tcW w:w="154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Quantidade</w:t>
            </w: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Valor Un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3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54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contextualSpacing/>
        <w:rPr>
          <w:rFonts w:ascii="Arial" w:hAnsi="Arial" w:cs="Arial"/>
          <w:color w:val="000000"/>
          <w:sz w:val="20"/>
          <w:szCs w:val="20"/>
          <w:lang w:eastAsia="en-US"/>
        </w:rPr>
      </w:pPr>
      <w:r>
        <w:rPr>
          <w:rFonts w:cs="Arial" w:ascii="Arial" w:hAnsi="Arial"/>
          <w:color w:val="000000"/>
          <w:sz w:val="20"/>
          <w:szCs w:val="20"/>
          <w:lang w:eastAsia="en-US"/>
        </w:rPr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  <w:lang w:eastAsia="en-US"/>
        </w:rPr>
        <w:t>A listagem do cadastro de reserva referente ao presente registro de preços consta como anexo a esta Ata.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1708" w:hanging="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color w:val="000000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contextualSpacing/>
        <w:jc w:val="both"/>
        <w:rPr>
          <w:color w:val="000000"/>
        </w:rPr>
      </w:pPr>
      <w:r>
        <w:rPr>
          <w:rFonts w:cs="Arial" w:ascii="Arial" w:hAnsi="Arial"/>
          <w:b/>
          <w:bCs/>
          <w:i/>
          <w:iCs/>
          <w:color w:val="000000"/>
          <w:sz w:val="20"/>
          <w:szCs w:val="20"/>
        </w:rPr>
        <w:t>ÓRGÃO(S) GERENCIADOR E  PARTICIPANTE(S)</w:t>
      </w:r>
    </w:p>
    <w:p>
      <w:pPr>
        <w:pStyle w:val="Nivel2"/>
        <w:numPr>
          <w:ilvl w:val="1"/>
          <w:numId w:val="1"/>
        </w:numPr>
        <w:spacing w:lineRule="auto" w:line="240" w:before="0" w:after="0"/>
        <w:ind w:left="0" w:hanging="0"/>
        <w:contextualSpacing/>
        <w:jc w:val="both"/>
        <w:rPr>
          <w:color w:val="000000"/>
        </w:rPr>
      </w:pPr>
      <w:r>
        <w:rPr>
          <w:rFonts w:cs="Arial" w:ascii="Calibri" w:hAnsi="Calibri"/>
          <w:i w:val="false"/>
          <w:iCs w:val="false"/>
          <w:color w:val="000000"/>
          <w:sz w:val="24"/>
          <w:szCs w:val="24"/>
        </w:rPr>
        <w:t>O órgão gerenciador será a ESCOLA DE APRENDIZES-MARINHEIROS DO CEARÁ.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>
          <w:color w:val="000000"/>
        </w:rPr>
      </w:pPr>
      <w:r>
        <w:rPr>
          <w:rFonts w:cs="Arial" w:ascii="Arial" w:hAnsi="Arial"/>
          <w:i/>
          <w:iCs/>
          <w:color w:val="000000"/>
          <w:sz w:val="20"/>
          <w:szCs w:val="20"/>
        </w:rPr>
        <w:t>São órgãos e entidades públicas participantes do registro de preços:</w:t>
        <w:tab/>
      </w:r>
    </w:p>
    <w:tbl>
      <w:tblPr>
        <w:tblW w:w="897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2244"/>
        <w:gridCol w:w="2244"/>
        <w:gridCol w:w="2245"/>
        <w:gridCol w:w="2244"/>
      </w:tblGrid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  <w:t>Quantidade</w:t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30" w:hanging="0"/>
              <w:contextualSpacing/>
              <w:jc w:val="center"/>
              <w:rPr>
                <w:rFonts w:ascii="Arial" w:hAnsi="Arial" w:cs="Arial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20"/>
                <w:szCs w:val="20"/>
              </w:rPr>
            </w:r>
          </w:p>
        </w:tc>
      </w:tr>
    </w:tbl>
    <w:p>
      <w:pPr>
        <w:pStyle w:val="Nivel1"/>
        <w:numPr>
          <w:ilvl w:val="0"/>
          <w:numId w:val="0"/>
        </w:numPr>
        <w:spacing w:lineRule="auto" w:line="240" w:before="0" w:after="0"/>
        <w:ind w:left="360" w:hanging="0"/>
        <w:contextualSpacing/>
        <w:rPr>
          <w:lang w:eastAsia="en-US"/>
        </w:rPr>
      </w:pPr>
      <w:r>
        <w:rPr>
          <w:color w:val="000000"/>
        </w:rPr>
      </w:r>
    </w:p>
    <w:p>
      <w:pPr>
        <w:pStyle w:val="Nivel1"/>
        <w:numPr>
          <w:ilvl w:val="0"/>
          <w:numId w:val="1"/>
        </w:numPr>
        <w:spacing w:lineRule="auto" w:line="240" w:before="0" w:after="0"/>
        <w:contextualSpacing/>
        <w:rPr>
          <w:color w:val="000000"/>
        </w:rPr>
      </w:pPr>
      <w:r>
        <w:rPr>
          <w:color w:val="000000"/>
          <w:lang w:eastAsia="en-US"/>
        </w:rPr>
        <w:t xml:space="preserve">DA ADESÃO À ATA DE REGISTRO DE PREÇOS </w:t>
      </w:r>
      <w:r>
        <w:rPr>
          <w:i/>
          <w:color w:val="000000"/>
          <w:lang w:eastAsia="en-US"/>
        </w:rPr>
        <w:t>(item obrigatório)</w:t>
      </w:r>
    </w:p>
    <w:p>
      <w:pPr>
        <w:pStyle w:val="Normal"/>
        <w:spacing w:lineRule="auto" w:line="240" w:before="0" w:after="0"/>
        <w:ind w:left="425" w:hanging="0"/>
        <w:contextualSpacing/>
        <w:jc w:val="both"/>
        <w:rPr>
          <w:i w:val="false"/>
          <w:i w:val="false"/>
          <w:iCs w:val="false"/>
          <w:color w:val="000000"/>
        </w:rPr>
      </w:pPr>
      <w:r>
        <w:rPr>
          <w:rFonts w:cs="Arial" w:ascii="Arial" w:hAnsi="Arial"/>
          <w:i w:val="false"/>
          <w:iCs w:val="false"/>
          <w:color w:val="000000"/>
          <w:sz w:val="20"/>
          <w:szCs w:val="20"/>
          <w:lang w:eastAsia="en-US"/>
        </w:rPr>
        <w:t>4.1 Não será admitida a adesão à ata de registro de preços decorrente desta licitação.</w:t>
      </w:r>
    </w:p>
    <w:p>
      <w:pPr>
        <w:pStyle w:val="Normal"/>
        <w:spacing w:lineRule="auto" w:line="240" w:before="0" w:after="0"/>
        <w:ind w:left="425" w:hanging="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i w:val="false"/>
          <w:iCs w:val="false"/>
          <w:color w:val="000000"/>
        </w:rPr>
      </w:r>
    </w:p>
    <w:p>
      <w:pPr>
        <w:pStyle w:val="Nivel1"/>
        <w:numPr>
          <w:ilvl w:val="0"/>
          <w:numId w:val="1"/>
        </w:numPr>
        <w:spacing w:lineRule="auto" w:line="240" w:before="0" w:after="0"/>
        <w:contextualSpacing/>
        <w:rPr>
          <w:color w:val="000000"/>
        </w:rPr>
      </w:pPr>
      <w:r>
        <w:rPr>
          <w:color w:val="000000"/>
        </w:rPr>
        <w:t xml:space="preserve">VALIDADE DA ATA 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 xml:space="preserve">A validade da Ata de Registro de Preços será de </w:t>
      </w:r>
      <w:r>
        <w:rPr>
          <w:rFonts w:cs="Arial" w:ascii="Arial" w:hAnsi="Arial"/>
          <w:i/>
          <w:color w:val="000000"/>
          <w:sz w:val="20"/>
          <w:szCs w:val="20"/>
        </w:rPr>
        <w:t>12 meses</w:t>
      </w:r>
      <w:r>
        <w:rPr>
          <w:rFonts w:cs="Arial" w:ascii="Arial" w:hAnsi="Arial"/>
          <w:color w:val="000000"/>
          <w:sz w:val="20"/>
          <w:szCs w:val="20"/>
        </w:rPr>
        <w:t>, a partir da sua assinatura, não podendo ser prorrogada.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1708" w:hanging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color w:val="000000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left="360" w:right="-30" w:hanging="360"/>
        <w:contextualSpacing/>
        <w:jc w:val="both"/>
        <w:rPr>
          <w:color w:val="00000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>REVISÃO E CANCELAMENTO</w:t>
      </w:r>
      <w:r>
        <w:rPr>
          <w:rFonts w:cs="Arial" w:ascii="Arial" w:hAnsi="Arial"/>
          <w:iCs/>
          <w:color w:val="000000"/>
          <w:sz w:val="20"/>
          <w:szCs w:val="20"/>
        </w:rPr>
        <w:t xml:space="preserve"> </w:t>
      </w:r>
    </w:p>
    <w:p>
      <w:pPr>
        <w:pStyle w:val="ListParagraph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A Administração realizará pesquisa de mercado periodicamente, em intervalos não superiores a 180 (cento e oitenta) dias, a fim de verificar a vantajosidade dos preços registrados nesta Ata.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Os preços registrados poderão ser revistos em decorrência de eventual redução dos preços praticados no mercado ou de fato que eleve o custo do objeto registrado, cabendo à Administração promover as negociações junto ao(s) fornecedor(es).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Quando o preço registrado tornar-se superior ao preço praticado no mercado por motivo superveniente, a Administração convocará o(s) fornecedor(es) para negociar(em) a redução dos preços aos valores praticados pelo mercado.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O fornecedor que não aceitar reduzir seu preço ao valor praticado pelo mercado será liberado do compromisso assumido, sem aplicação de penalidade.</w:t>
      </w:r>
    </w:p>
    <w:p>
      <w:pPr>
        <w:pStyle w:val="Normal"/>
        <w:numPr>
          <w:ilvl w:val="2"/>
          <w:numId w:val="1"/>
        </w:numPr>
        <w:spacing w:lineRule="auto" w:line="240" w:before="0" w:after="0"/>
        <w:ind w:left="1134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A ordem de classificação dos fornecedores que aceitarem reduzir seus preços aos valores de mercado observará a classificação original.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Quando o preço de mercado tornar-se superior aos preços registrados e o fornecedor não puder cumprir o compromisso, o órgão gerenciador poderá:</w:t>
      </w:r>
    </w:p>
    <w:p>
      <w:pPr>
        <w:pStyle w:val="Normal"/>
        <w:numPr>
          <w:ilvl w:val="2"/>
          <w:numId w:val="1"/>
        </w:numPr>
        <w:spacing w:lineRule="auto" w:line="240" w:before="0" w:after="0"/>
        <w:ind w:left="1134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liberar o fornecedor do compromisso assumido, caso a comunicação ocorra antes do pedido de fornecimento, e sem aplicação da penalidade se confirmada a veracidade dos motivos e comprovantes apresentados; e</w:t>
      </w:r>
    </w:p>
    <w:p>
      <w:pPr>
        <w:pStyle w:val="Normal"/>
        <w:numPr>
          <w:ilvl w:val="2"/>
          <w:numId w:val="1"/>
        </w:numPr>
        <w:spacing w:lineRule="auto" w:line="240" w:before="0" w:after="0"/>
        <w:ind w:left="1134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convocar os demais fornecedores para assegurar igual oportunidade de negociação.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Não havendo êxito nas negociações, o órgão gerenciador deverá proceder à revogação desta ata de registro de preços, adotando as medidas cabíveis para obtenção da contratação mais vantajosa.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O registro do fornecedor será cancelado quando:</w:t>
      </w:r>
    </w:p>
    <w:p>
      <w:pPr>
        <w:pStyle w:val="Normal"/>
        <w:numPr>
          <w:ilvl w:val="2"/>
          <w:numId w:val="1"/>
        </w:numPr>
        <w:spacing w:lineRule="auto" w:line="240" w:before="0" w:after="0"/>
        <w:ind w:left="1134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descumprir as condições da ata de registro de preços;</w:t>
      </w:r>
    </w:p>
    <w:p>
      <w:pPr>
        <w:pStyle w:val="Normal"/>
        <w:numPr>
          <w:ilvl w:val="2"/>
          <w:numId w:val="1"/>
        </w:numPr>
        <w:spacing w:lineRule="auto" w:line="240" w:before="0" w:after="0"/>
        <w:ind w:left="1134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não retirar a nota de empenho ou instrumento equivalente no prazo estabelecido pela Administração, sem justificativa aceitável;</w:t>
      </w:r>
    </w:p>
    <w:p>
      <w:pPr>
        <w:pStyle w:val="Normal"/>
        <w:numPr>
          <w:ilvl w:val="2"/>
          <w:numId w:val="1"/>
        </w:numPr>
        <w:spacing w:lineRule="auto" w:line="240" w:before="0" w:after="0"/>
        <w:ind w:left="1134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não aceitar reduzir o seu preço registrado, na hipótese deste se tornar superior àqueles praticados no mercado; ou</w:t>
      </w:r>
    </w:p>
    <w:p>
      <w:pPr>
        <w:pStyle w:val="Normal"/>
        <w:numPr>
          <w:ilvl w:val="2"/>
          <w:numId w:val="1"/>
        </w:numPr>
        <w:spacing w:lineRule="auto" w:line="240" w:before="0" w:after="0"/>
        <w:ind w:left="1134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sofrer sanção administrativa cujo efeito torne-o proibido de celebrar contrato administrativo, alcançando o órgão gerenciador e órgão(s) participante(s).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O cancelamento de registros nas hipóteses previstas nos itens 6.7.1, 6.7.2 e 6.7.4 será formalizado por despacho do órgão gerenciador, assegurado o contraditório e a ampla defesa.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O cancelamento do registro de preços poderá ocorrer por fato superveniente, decorrente de caso fortuito ou força maior, que prejudique o cumprimento da ata, devidamente comprovados e justificados:</w:t>
      </w:r>
    </w:p>
    <w:p>
      <w:pPr>
        <w:pStyle w:val="Normal"/>
        <w:numPr>
          <w:ilvl w:val="2"/>
          <w:numId w:val="1"/>
        </w:numPr>
        <w:spacing w:lineRule="auto" w:line="240" w:before="0" w:after="0"/>
        <w:ind w:left="1134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por razão de interesse público; ou</w:t>
      </w:r>
    </w:p>
    <w:p>
      <w:pPr>
        <w:pStyle w:val="Normal"/>
        <w:numPr>
          <w:ilvl w:val="2"/>
          <w:numId w:val="1"/>
        </w:numPr>
        <w:spacing w:lineRule="auto" w:line="240" w:before="0" w:after="0"/>
        <w:ind w:left="1134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a pedido do fornecedor.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631" w:hanging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color w:val="000000"/>
        </w:rPr>
      </w:r>
    </w:p>
    <w:p>
      <w:pPr>
        <w:pStyle w:val="Nivel1"/>
        <w:numPr>
          <w:ilvl w:val="0"/>
          <w:numId w:val="1"/>
        </w:numPr>
        <w:spacing w:lineRule="auto" w:line="240" w:before="0" w:after="0"/>
        <w:ind w:left="357" w:hanging="357"/>
        <w:contextualSpacing/>
        <w:rPr>
          <w:color w:val="000000"/>
        </w:rPr>
      </w:pPr>
      <w:r>
        <w:rPr>
          <w:color w:val="000000"/>
        </w:rPr>
        <w:t>DAS PENALIDADES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>
          <w:color w:val="000000"/>
        </w:rPr>
      </w:pPr>
      <w:r>
        <w:rPr>
          <w:rFonts w:cs="Arial" w:ascii="Arial" w:hAnsi="Arial"/>
          <w:iCs/>
          <w:color w:val="000000"/>
          <w:sz w:val="20"/>
          <w:szCs w:val="20"/>
        </w:rPr>
        <w:t>O descumprimento da Ata de Registro de Preços ensejará aplicação das penalidades estabelecidas no Edital.</w:t>
      </w:r>
    </w:p>
    <w:p>
      <w:pPr>
        <w:pStyle w:val="Normal"/>
        <w:numPr>
          <w:ilvl w:val="2"/>
          <w:numId w:val="1"/>
        </w:numPr>
        <w:spacing w:lineRule="auto" w:line="240" w:before="0" w:after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  <w:highlight w:val="yellow"/>
        </w:rPr>
        <w:t xml:space="preserve">As sanções do item acima também se aplicam aos integrantes do cadastro de reserva, em pregão para registro de preços que, convocados, não honrarem o compromisso assumido injustificadamente, nos termos do art. 49, §1º do Decreto nº 10.024/19. 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>
          <w:color w:val="000000"/>
        </w:rPr>
      </w:pPr>
      <w:r>
        <w:rPr>
          <w:rFonts w:cs="Arial" w:ascii="Arial" w:hAnsi="Arial"/>
          <w:iCs/>
          <w:color w:val="000000"/>
          <w:sz w:val="20"/>
          <w:szCs w:val="20"/>
        </w:rPr>
        <w:t>É da competência do órgão gerenciador a aplicação das penalidades decorrentes do descumprimento do pactuado nesta ata de registro de preço (art. 5º, inciso X, do Decreto nº 7.892/2013), exceto nas hipóteses em que o descumprimento disser respeito às contratações dos órgãos participantes, caso no qual caberá ao respectivo órgão participante a aplicação da penalidade (art. 6º, Parágrafo único, do Decreto nº 7.892/2013).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>
          <w:color w:val="000000"/>
        </w:rPr>
      </w:pPr>
      <w:r>
        <w:rPr>
          <w:rFonts w:cs="Arial" w:ascii="Arial" w:hAnsi="Arial"/>
          <w:iCs/>
          <w:color w:val="000000"/>
          <w:sz w:val="20"/>
          <w:szCs w:val="20"/>
        </w:rPr>
        <w:t>O órgão participante deverá comunicar ao órgão gerenciador qualquer das ocorrências previstas no art. 20 do Decreto nº 7.892/2013, dada a necessidade de instauração de procedimento para cancelamento do registro do fornecedor.</w:t>
      </w:r>
    </w:p>
    <w:p>
      <w:pPr>
        <w:pStyle w:val="Normal"/>
        <w:widowControl w:val="false"/>
        <w:spacing w:lineRule="auto" w:line="240" w:before="0" w:after="0"/>
        <w:ind w:left="360" w:hanging="0"/>
        <w:contextualSpacing/>
        <w:jc w:val="both"/>
        <w:rPr>
          <w:rFonts w:ascii="Arial" w:hAnsi="Arial" w:cs="Arial"/>
          <w:b/>
          <w:b/>
          <w:iCs/>
          <w:color w:val="000000"/>
          <w:sz w:val="20"/>
          <w:szCs w:val="20"/>
        </w:rPr>
      </w:pPr>
      <w:r>
        <w:rPr>
          <w:rFonts w:cs="Arial" w:ascii="Arial" w:hAnsi="Arial"/>
          <w:b/>
          <w:iCs/>
          <w:color w:val="000000"/>
          <w:sz w:val="20"/>
          <w:szCs w:val="20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contextualSpacing/>
        <w:jc w:val="both"/>
        <w:rPr>
          <w:color w:val="000000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  <w:t>CONDIÇÕES GERAIS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>
          <w:color w:val="000000"/>
        </w:rPr>
      </w:pPr>
      <w:r>
        <w:rPr>
          <w:rFonts w:cs="Arial" w:ascii="Arial" w:hAnsi="Arial"/>
          <w:iCs/>
          <w:color w:val="000000"/>
          <w:sz w:val="20"/>
          <w:szCs w:val="20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Referência, ANEXO AO EDITAL.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>
          <w:color w:val="000000"/>
        </w:rPr>
      </w:pPr>
      <w:r>
        <w:rPr>
          <w:rFonts w:cs="Arial" w:ascii="Arial" w:hAnsi="Arial"/>
          <w:iCs/>
          <w:color w:val="000000"/>
          <w:sz w:val="20"/>
          <w:szCs w:val="20"/>
        </w:rPr>
        <w:t>É vedado efetuar acréscimos nos quantitativos fixados nesta ata de registro de preços, inclusive o acréscimo de que trata o § 1º do art</w:t>
      </w:r>
      <w:r>
        <w:rPr>
          <w:rFonts w:cs="Arial" w:ascii="Arial" w:hAnsi="Arial"/>
          <w:color w:val="000000"/>
          <w:sz w:val="20"/>
          <w:szCs w:val="20"/>
        </w:rPr>
        <w:t>. 65 da Lei nº 8.666/93, nos termos do art. 12, §1º do Decreto nº 7892/13.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left="425" w:hanging="0"/>
        <w:contextualSpacing/>
        <w:jc w:val="both"/>
        <w:rPr>
          <w:color w:val="000000"/>
        </w:rPr>
      </w:pPr>
      <w:r>
        <w:rPr>
          <w:rFonts w:cs="Arial" w:ascii="Arial" w:hAnsi="Arial"/>
          <w:iCs/>
          <w:color w:val="000000"/>
          <w:sz w:val="20"/>
          <w:szCs w:val="20"/>
        </w:rPr>
        <w:t>A ata de realização da sessão pública do pregão, contendo a relação dos licitantes que aceitarem cotar os bens ou serviços com preços iguais ao do licitante vencedor do certame, compõe anexo a esta Ata de Registro de Preços, nos termos do art. 11, §4º do Decreto n. 7.892, de 2014.</w:t>
      </w:r>
    </w:p>
    <w:p>
      <w:pPr>
        <w:pStyle w:val="Normal"/>
        <w:widowControl w:val="false"/>
        <w:spacing w:lineRule="auto" w:line="240" w:before="0" w:after="0"/>
        <w:ind w:right="-15" w:hanging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right="-15" w:hanging="0"/>
        <w:contextualSpacing/>
        <w:jc w:val="both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 xml:space="preserve">Para firmeza e validade do pactuado, a presente Ata foi lavrada em </w:t>
      </w:r>
      <w:r>
        <w:rPr>
          <w:rFonts w:cs="Arial" w:ascii="Arial" w:hAnsi="Arial"/>
          <w:color w:val="000000"/>
          <w:sz w:val="20"/>
          <w:szCs w:val="20"/>
        </w:rPr>
        <w:t xml:space="preserve">2 </w:t>
      </w:r>
      <w:r>
        <w:rPr>
          <w:rFonts w:cs="Arial" w:ascii="Arial" w:hAnsi="Arial"/>
          <w:color w:val="000000"/>
          <w:sz w:val="20"/>
          <w:szCs w:val="20"/>
        </w:rPr>
        <w:t>(</w:t>
      </w:r>
      <w:r>
        <w:rPr>
          <w:rFonts w:cs="Arial" w:ascii="Arial" w:hAnsi="Arial"/>
          <w:color w:val="000000"/>
          <w:sz w:val="20"/>
          <w:szCs w:val="20"/>
        </w:rPr>
        <w:t>duas</w:t>
      </w:r>
      <w:r>
        <w:rPr>
          <w:rFonts w:cs="Arial" w:ascii="Arial" w:hAnsi="Arial"/>
          <w:color w:val="000000"/>
          <w:sz w:val="20"/>
          <w:szCs w:val="20"/>
        </w:rPr>
        <w:t>) vias de igual teor, que, depois de lida e achada em ordem, vai assinada pelas partes</w:t>
      </w:r>
      <w:r>
        <w:rPr>
          <w:rFonts w:cs="Arial" w:ascii="Arial" w:hAnsi="Arial"/>
          <w:i/>
          <w:iCs/>
          <w:color w:val="000000"/>
          <w:sz w:val="20"/>
          <w:szCs w:val="20"/>
        </w:rPr>
        <w:t>.</w:t>
      </w:r>
    </w:p>
    <w:p>
      <w:pPr>
        <w:pStyle w:val="Normal"/>
        <w:widowControl w:val="false"/>
        <w:spacing w:lineRule="auto" w:line="240" w:before="0" w:after="0"/>
        <w:ind w:right="-15" w:hanging="0"/>
        <w:contextualSpacing/>
        <w:jc w:val="both"/>
        <w:rPr>
          <w:color w:val="000000"/>
        </w:rPr>
      </w:pPr>
      <w:r>
        <w:rPr>
          <w:rFonts w:cs="Arial" w:ascii="Arial" w:hAnsi="Arial"/>
          <w:i/>
          <w:iCs/>
          <w:color w:val="000000"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right="-30" w:hanging="0"/>
        <w:contextualSpacing/>
        <w:jc w:val="center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Local e data</w:t>
      </w:r>
    </w:p>
    <w:p>
      <w:pPr>
        <w:pStyle w:val="Normal"/>
        <w:widowControl w:val="false"/>
        <w:spacing w:lineRule="auto" w:line="240" w:before="0" w:after="0"/>
        <w:ind w:right="-30" w:hanging="0"/>
        <w:contextualSpacing/>
        <w:jc w:val="center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>Assinaturas</w:t>
      </w:r>
    </w:p>
    <w:p>
      <w:pPr>
        <w:pStyle w:val="Normal"/>
        <w:widowControl w:val="false"/>
        <w:spacing w:lineRule="auto" w:line="240" w:before="0" w:after="0"/>
        <w:ind w:right="-30" w:hanging="0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right="-30" w:hanging="0"/>
        <w:contextualSpacing/>
        <w:jc w:val="center"/>
        <w:rPr>
          <w:color w:val="000000"/>
        </w:rPr>
      </w:pPr>
      <w:r>
        <w:rPr>
          <w:rFonts w:cs="Arial" w:ascii="Arial" w:hAnsi="Arial"/>
          <w:color w:val="000000"/>
          <w:sz w:val="20"/>
          <w:szCs w:val="20"/>
        </w:rPr>
        <w:t xml:space="preserve">Representante legal do órgão gerenciador e representante(s) legal(is) do(s) </w:t>
      </w:r>
      <w:r>
        <w:rPr>
          <w:rFonts w:cs="Arial" w:ascii="Arial" w:hAnsi="Arial"/>
          <w:color w:val="000000"/>
          <w:sz w:val="20"/>
          <w:szCs w:val="20"/>
        </w:rPr>
        <w:t>fornecedor(s) registrado(s)</w:t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1418" w:top="1931" w:footer="708" w:bottom="141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 xml:space="preserve">Ata de Registro de Preços – modelo – pregão compras </w:t>
    </w:r>
  </w:p>
  <w:p>
    <w:pPr>
      <w:pStyle w:val="Rodap"/>
      <w:rPr>
        <w:rFonts w:ascii="Arial" w:hAnsi="Arial" w:cs="Arial"/>
      </w:rPr>
    </w:pPr>
    <w:r>
      <w:rPr>
        <w:rFonts w:cs="Arial" w:ascii="Arial" w:hAnsi="Arial"/>
        <w:sz w:val="12"/>
        <w:szCs w:val="12"/>
      </w:rPr>
      <w:t>Atualização:  Dezembro/2019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righ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 xml:space="preserve">Anexo II do Edital PE SRP nº </w:t>
    </w:r>
    <w:r>
      <w:rPr>
        <w:rFonts w:cs="Tahoma" w:ascii="Arial" w:hAnsi="Arial"/>
        <w:sz w:val="20"/>
        <w:szCs w:val="20"/>
      </w:rPr>
      <w:t>15</w:t>
    </w:r>
    <w:r>
      <w:rPr>
        <w:rFonts w:ascii="Arial" w:hAnsi="Arial"/>
        <w:sz w:val="20"/>
        <w:szCs w:val="20"/>
      </w:rPr>
      <w:t>/2023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rFonts w:ascii="Calibri" w:hAnsi="Calibri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mirrorMargi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nfase1Char" w:customStyle="1">
    <w:name w:val="Grade Colorida - Ênfase 1 Char"/>
    <w:link w:val="GradeColorida-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link w:val="Corpodetexto"/>
    <w:uiPriority w:val="99"/>
    <w:qFormat/>
    <w:rsid w:val="002f4c05"/>
    <w:rPr>
      <w:sz w:val="24"/>
      <w:szCs w:val="24"/>
    </w:rPr>
  </w:style>
  <w:style w:type="character" w:styleId="LinkdaInternet">
    <w:name w:val="Link da Internet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link w:val="Cabealho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link w:val="Rodap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Citao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styleId="Ttulo1Char" w:customStyle="1">
    <w:name w:val="Título 1 Char"/>
    <w:basedOn w:val="DefaultParagraphFont"/>
    <w:link w:val="Ttulo1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val="365F91" w:themeColor="accent1" w:themeShade="bf"/>
      <w:sz w:val="28"/>
      <w:szCs w:val="28"/>
    </w:rPr>
  </w:style>
  <w:style w:type="character" w:styleId="Nfaseforte">
    <w:name w:val="Ênfase forte"/>
    <w:qFormat/>
    <w:rPr>
      <w:b/>
      <w:bCs/>
    </w:rPr>
  </w:style>
  <w:style w:type="character" w:styleId="Fontepargpadro">
    <w:name w:val="Fonte parág. padrão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GradeColoridanfase11" w:customStyle="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 w:hanging="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val="000000" w:themeColor="text1"/>
    </w:rPr>
  </w:style>
  <w:style w:type="paragraph" w:styleId="Nivel1" w:customStyle="1">
    <w:name w:val="Nivel1"/>
    <w:basedOn w:val="Ttulo1"/>
    <w:next w:val="Normal"/>
    <w:link w:val="Nivel1Char"/>
    <w:qFormat/>
    <w:rsid w:val="006362ae"/>
    <w:pPr>
      <w:widowControl w:val="false"/>
      <w:spacing w:lineRule="auto" w:line="276" w:before="480" w:after="120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paragraph" w:styleId="Nivel01" w:customStyle="1">
    <w:name w:val="Nivel 01"/>
    <w:basedOn w:val="Ttulo1"/>
    <w:next w:val="Normal"/>
    <w:qFormat/>
    <w:rsid w:val="001f6040"/>
    <w:pPr>
      <w:tabs>
        <w:tab w:val="clear" w:pos="708"/>
        <w:tab w:val="left" w:pos="360" w:leader="none"/>
        <w:tab w:val="left" w:pos="567" w:leader="none"/>
      </w:tabs>
      <w:spacing w:before="240" w:after="0"/>
      <w:ind w:left="0" w:hanging="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paragraph" w:styleId="Nivel2">
    <w:name w:val="Nivel 2"/>
    <w:basedOn w:val="Normal"/>
    <w:qFormat/>
    <w:pPr>
      <w:numPr>
        <w:ilvl w:val="0"/>
        <w:numId w:val="1"/>
      </w:numPr>
      <w:spacing w:lineRule="auto" w:line="276" w:before="120" w:after="120"/>
      <w:ind w:left="0" w:hanging="0"/>
      <w:jc w:val="both"/>
    </w:pPr>
    <w:rPr>
      <w:rFonts w:ascii="Arial" w:hAnsi="Arial" w:cs="Arial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BC7201-7ED3-4096-9DE3-0512CE1D9A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897A23-5452-412E-B0B0-FF855C75CE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4E0A7D-1135-4C98-9520-65D4F26D0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LibreOffice/7.1.5.2$Windows_X86_64 LibreOffice_project/85f04e9f809797b8199d13c421bd8a2b025d52b5</Application>
  <AppVersion>15.0000</AppVersion>
  <Pages>3</Pages>
  <Words>1145</Words>
  <Characters>6491</Characters>
  <CharactersWithSpaces>7543</CharactersWithSpaces>
  <Paragraphs>72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2020-01-14T19:28:00Z</dcterms:created>
  <dc:creator>CONJUR-MP</dc:creator>
  <dc:description>Texto idêntico ao modelo de serviços, salvo pela especificação do objeto contratado e da respectiva nota explicativa.</dc:description>
  <dc:language>pt-BR</dc:language>
  <cp:lastModifiedBy/>
  <dcterms:modified xsi:type="dcterms:W3CDTF">2023-09-28T10:10:30Z</dcterms:modified>
  <cp:revision>11</cp:revision>
  <dc:subject/>
  <dc:title>MODELO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2048">
    <vt:lpwstr>44</vt:lpwstr>
  </property>
  <property fmtid="{D5CDD505-2E9C-101B-9397-08002B2CF9AE}" pid="3" name="ContentTypeId">
    <vt:lpwstr>0x01010012A2765E7DFD38469B2E626874CD0041</vt:lpwstr>
  </property>
</Properties>
</file>